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2627A" w14:textId="084B89E9" w:rsidR="00D0718B" w:rsidRDefault="00D0718B">
      <w:pPr>
        <w:pStyle w:val="Ttulo1"/>
        <w:keepNext w:val="0"/>
        <w:keepLines w:val="0"/>
        <w:shd w:val="clear" w:color="auto" w:fill="FFFFFF"/>
        <w:spacing w:before="0" w:after="0"/>
        <w:jc w:val="center"/>
        <w:rPr>
          <w:b/>
          <w:sz w:val="46"/>
          <w:szCs w:val="46"/>
        </w:rPr>
      </w:pPr>
      <w:bookmarkStart w:id="0" w:name="_y5njkg4hfgfi" w:colFirst="0" w:colLast="0"/>
      <w:bookmarkEnd w:id="0"/>
      <w:r>
        <w:rPr>
          <w:b/>
          <w:noProof/>
          <w:sz w:val="38"/>
          <w:szCs w:val="38"/>
        </w:rPr>
        <w:drawing>
          <wp:inline distT="114300" distB="114300" distL="114300" distR="114300" wp14:anchorId="54F655A2" wp14:editId="09400537">
            <wp:extent cx="2919413" cy="994525"/>
            <wp:effectExtent l="0" t="0" r="0" b="0"/>
            <wp:docPr id="1058087508"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58087508" name="image1.png" descr="Logotipo&#10;&#10;Descripción generada automáticamente con confianza baja"/>
                    <pic:cNvPicPr preferRelativeResize="0"/>
                  </pic:nvPicPr>
                  <pic:blipFill>
                    <a:blip r:embed="rId7"/>
                    <a:srcRect/>
                    <a:stretch>
                      <a:fillRect/>
                    </a:stretch>
                  </pic:blipFill>
                  <pic:spPr>
                    <a:xfrm>
                      <a:off x="0" y="0"/>
                      <a:ext cx="2919413" cy="994525"/>
                    </a:xfrm>
                    <a:prstGeom prst="rect">
                      <a:avLst/>
                    </a:prstGeom>
                    <a:ln/>
                  </pic:spPr>
                </pic:pic>
              </a:graphicData>
            </a:graphic>
          </wp:inline>
        </w:drawing>
      </w:r>
    </w:p>
    <w:p w14:paraId="0961CF72" w14:textId="77777777" w:rsidR="00D0718B" w:rsidRDefault="00D0718B">
      <w:pPr>
        <w:pStyle w:val="Ttulo1"/>
        <w:keepNext w:val="0"/>
        <w:keepLines w:val="0"/>
        <w:shd w:val="clear" w:color="auto" w:fill="FFFFFF"/>
        <w:spacing w:before="0" w:after="0"/>
        <w:jc w:val="center"/>
        <w:rPr>
          <w:b/>
          <w:sz w:val="46"/>
          <w:szCs w:val="46"/>
        </w:rPr>
      </w:pPr>
    </w:p>
    <w:p w14:paraId="44772A8B" w14:textId="77777777" w:rsidR="00CB7871" w:rsidRDefault="00CB7871">
      <w:pPr>
        <w:pStyle w:val="Ttulo1"/>
        <w:keepNext w:val="0"/>
        <w:keepLines w:val="0"/>
        <w:shd w:val="clear" w:color="auto" w:fill="FFFFFF"/>
        <w:spacing w:before="0" w:after="0"/>
        <w:jc w:val="center"/>
        <w:rPr>
          <w:b/>
          <w:sz w:val="46"/>
          <w:szCs w:val="46"/>
        </w:rPr>
      </w:pPr>
      <w:r w:rsidRPr="00CB7871">
        <w:rPr>
          <w:b/>
          <w:sz w:val="46"/>
          <w:szCs w:val="46"/>
        </w:rPr>
        <w:t>GSTC Criteria for Food &amp; Beverage Service Providers in Tourism </w:t>
      </w:r>
    </w:p>
    <w:p w14:paraId="277FB5B3" w14:textId="19C56317" w:rsidR="00766E74" w:rsidRDefault="00000000">
      <w:pPr>
        <w:pStyle w:val="Ttulo1"/>
        <w:keepNext w:val="0"/>
        <w:keepLines w:val="0"/>
        <w:shd w:val="clear" w:color="auto" w:fill="FFFFFF"/>
        <w:spacing w:before="0" w:after="0"/>
        <w:jc w:val="center"/>
        <w:rPr>
          <w:b/>
          <w:sz w:val="46"/>
          <w:szCs w:val="46"/>
        </w:rPr>
      </w:pPr>
      <w:r>
        <w:rPr>
          <w:b/>
          <w:sz w:val="46"/>
          <w:szCs w:val="46"/>
        </w:rPr>
        <w:t>1st Public Consultation is Now Open</w:t>
      </w:r>
    </w:p>
    <w:p w14:paraId="696A5297" w14:textId="77777777" w:rsidR="00766E74" w:rsidRDefault="00766E74"/>
    <w:p w14:paraId="2F04B8E7" w14:textId="77777777" w:rsidR="00CB7871" w:rsidRDefault="00CB7871" w:rsidP="00CB7871">
      <w:pPr>
        <w:pStyle w:val="NormalWeb"/>
        <w:spacing w:before="0" w:beforeAutospacing="0" w:after="0" w:afterAutospacing="0" w:line="360" w:lineRule="auto"/>
        <w:jc w:val="both"/>
        <w:rPr>
          <w:rFonts w:ascii="Arial" w:hAnsi="Arial" w:cs="Arial"/>
          <w:color w:val="000000"/>
          <w:sz w:val="22"/>
          <w:szCs w:val="22"/>
          <w:lang w:val="en"/>
        </w:rPr>
      </w:pPr>
    </w:p>
    <w:p w14:paraId="3888E31B" w14:textId="7AD09583" w:rsidR="00CB7871" w:rsidRPr="00CB7871" w:rsidRDefault="00CB7871" w:rsidP="00CB7871">
      <w:pPr>
        <w:pStyle w:val="NormalWeb"/>
        <w:spacing w:before="0" w:beforeAutospacing="0" w:after="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 xml:space="preserve">The Global Sustainable Tourism Council (GSTC), in partnership with the Türkiye Tourism Promotion and Development Agency (TGA), </w:t>
      </w:r>
      <w:hyperlink r:id="rId8" w:history="1">
        <w:r w:rsidRPr="00CB7871">
          <w:rPr>
            <w:rStyle w:val="Hipervnculo"/>
            <w:rFonts w:ascii="Arial" w:hAnsi="Arial" w:cs="Arial"/>
            <w:color w:val="1155CC"/>
            <w:sz w:val="22"/>
            <w:szCs w:val="22"/>
            <w:lang w:val="en-US"/>
          </w:rPr>
          <w:t>announced in August</w:t>
        </w:r>
      </w:hyperlink>
      <w:r w:rsidRPr="00CB7871">
        <w:rPr>
          <w:rFonts w:ascii="Arial" w:hAnsi="Arial" w:cs="Arial"/>
          <w:color w:val="000000"/>
          <w:sz w:val="22"/>
          <w:szCs w:val="22"/>
          <w:lang w:val="en-US"/>
        </w:rPr>
        <w:t xml:space="preserve"> its plans to expand the </w:t>
      </w:r>
      <w:hyperlink r:id="rId9" w:history="1">
        <w:r w:rsidRPr="00CB7871">
          <w:rPr>
            <w:rStyle w:val="Hipervnculo"/>
            <w:rFonts w:ascii="Arial" w:hAnsi="Arial" w:cs="Arial"/>
            <w:color w:val="1155CC"/>
            <w:sz w:val="22"/>
            <w:szCs w:val="22"/>
            <w:lang w:val="en-US"/>
          </w:rPr>
          <w:t>GSTC Criteria</w:t>
        </w:r>
      </w:hyperlink>
      <w:r w:rsidRPr="00CB7871">
        <w:rPr>
          <w:rFonts w:ascii="Arial" w:hAnsi="Arial" w:cs="Arial"/>
          <w:color w:val="000000"/>
          <w:sz w:val="22"/>
          <w:szCs w:val="22"/>
          <w:lang w:val="en-US"/>
        </w:rPr>
        <w:t>, the global standards for sustainable tourism, by developing a new set specifically for tourism-related food service providers. These forthcoming criteria, with an official name to be determined, will establish global sustainability standards tailored to the unique needs of Food &amp; Beverage Service Providers within the tourism industry. </w:t>
      </w:r>
    </w:p>
    <w:p w14:paraId="767D5C45" w14:textId="77777777" w:rsidR="00CB7871" w:rsidRPr="00CB7871" w:rsidRDefault="00CB7871" w:rsidP="00CB7871">
      <w:pPr>
        <w:spacing w:line="360" w:lineRule="auto"/>
        <w:jc w:val="both"/>
      </w:pPr>
    </w:p>
    <w:p w14:paraId="4249BEA0" w14:textId="77777777" w:rsidR="00CB7871" w:rsidRPr="00CB7871" w:rsidRDefault="00CB7871" w:rsidP="00CB7871">
      <w:pPr>
        <w:pStyle w:val="NormalWeb"/>
        <w:spacing w:before="0" w:beforeAutospacing="0" w:after="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 xml:space="preserve">With the development of the new Criteria, the GSTC will add a new training program related to sustainability in restaurants and tourism food service providers, expanding its renowned </w:t>
      </w:r>
      <w:hyperlink r:id="rId10" w:history="1">
        <w:r w:rsidRPr="00CB7871">
          <w:rPr>
            <w:rStyle w:val="Hipervnculo"/>
            <w:rFonts w:ascii="Arial" w:hAnsi="Arial" w:cs="Arial"/>
            <w:color w:val="1155CC"/>
            <w:sz w:val="22"/>
            <w:szCs w:val="22"/>
            <w:lang w:val="en-US"/>
          </w:rPr>
          <w:t>Sustainable Tourism Training Program</w:t>
        </w:r>
      </w:hyperlink>
      <w:r w:rsidRPr="00CB7871">
        <w:rPr>
          <w:rFonts w:ascii="Arial" w:hAnsi="Arial" w:cs="Arial"/>
          <w:color w:val="000000"/>
          <w:sz w:val="22"/>
          <w:szCs w:val="22"/>
          <w:lang w:val="en-US"/>
        </w:rPr>
        <w:t>.</w:t>
      </w:r>
    </w:p>
    <w:p w14:paraId="2222C7D5" w14:textId="77777777" w:rsidR="00CB7871" w:rsidRPr="00CB7871" w:rsidRDefault="00CB7871" w:rsidP="00CB7871">
      <w:pPr>
        <w:spacing w:line="360" w:lineRule="auto"/>
        <w:jc w:val="both"/>
      </w:pPr>
    </w:p>
    <w:p w14:paraId="11D5F145" w14:textId="63FF8D93" w:rsidR="00CB7871" w:rsidRPr="00CB7871" w:rsidRDefault="00CB7871" w:rsidP="00CB7871">
      <w:pPr>
        <w:pStyle w:val="Ttulo3"/>
        <w:spacing w:before="280" w:line="360" w:lineRule="auto"/>
        <w:jc w:val="both"/>
        <w:rPr>
          <w:b/>
          <w:bCs/>
          <w:sz w:val="24"/>
          <w:szCs w:val="24"/>
        </w:rPr>
      </w:pPr>
      <w:r w:rsidRPr="00CB7871">
        <w:rPr>
          <w:b/>
          <w:bCs/>
          <w:color w:val="000000"/>
          <w:sz w:val="24"/>
          <w:szCs w:val="24"/>
        </w:rPr>
        <w:t xml:space="preserve">The 1st Public Consultation for the GSTC Criteria for Food &amp; Beverage Service Providers in Tourism is now </w:t>
      </w:r>
      <w:proofErr w:type="gramStart"/>
      <w:r w:rsidRPr="00CB7871">
        <w:rPr>
          <w:b/>
          <w:bCs/>
          <w:color w:val="000000"/>
          <w:sz w:val="24"/>
          <w:szCs w:val="24"/>
        </w:rPr>
        <w:t>open</w:t>
      </w:r>
      <w:proofErr w:type="gramEnd"/>
      <w:r w:rsidRPr="00CB7871">
        <w:rPr>
          <w:b/>
          <w:bCs/>
          <w:color w:val="000000"/>
          <w:sz w:val="24"/>
          <w:szCs w:val="24"/>
        </w:rPr>
        <w:t> </w:t>
      </w:r>
    </w:p>
    <w:p w14:paraId="5795A45B" w14:textId="77777777" w:rsidR="00CB7871" w:rsidRPr="00CB7871" w:rsidRDefault="00CB7871" w:rsidP="00CB7871">
      <w:pPr>
        <w:pStyle w:val="NormalWeb"/>
        <w:spacing w:before="0" w:beforeAutospacing="0" w:after="30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The first public consultation period for the GSTC Criteria for Food &amp; Beverage Service Providers in Tourism has begun and will remain open until the 3rd of March 2025 (60 days). Professionals and practitioners in the F&amp;B sector are invited to share insights during this first public consultation phase.</w:t>
      </w:r>
    </w:p>
    <w:p w14:paraId="7BE7E350" w14:textId="7D0D8AC9" w:rsidR="00CB7871" w:rsidRPr="00CB7871" w:rsidRDefault="00CB7871" w:rsidP="00CB7871">
      <w:pPr>
        <w:pStyle w:val="NormalWeb"/>
        <w:spacing w:before="0" w:beforeAutospacing="0" w:after="30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 xml:space="preserve">The </w:t>
      </w:r>
      <w:r w:rsidRPr="00CB7871">
        <w:rPr>
          <w:rFonts w:ascii="Arial" w:hAnsi="Arial" w:cs="Arial"/>
          <w:b/>
          <w:bCs/>
          <w:color w:val="000000"/>
          <w:sz w:val="22"/>
          <w:szCs w:val="22"/>
          <w:lang w:val="en-US"/>
        </w:rPr>
        <w:t>GSTC Criteria for Food &amp; Beverage Service Providers in Tourism</w:t>
      </w:r>
      <w:r w:rsidRPr="00CB7871">
        <w:rPr>
          <w:rFonts w:ascii="Arial" w:hAnsi="Arial" w:cs="Arial"/>
          <w:color w:val="000000"/>
          <w:sz w:val="22"/>
          <w:szCs w:val="22"/>
          <w:lang w:val="en-US"/>
        </w:rPr>
        <w:t xml:space="preserve"> includes four sections: Section A (Demonstrate effective sustainable management); Section B (Maximize social and economic benefits to the local community and minimize negative impacts); Section C (Maximize </w:t>
      </w:r>
      <w:r w:rsidRPr="00CB7871">
        <w:rPr>
          <w:rFonts w:ascii="Arial" w:hAnsi="Arial" w:cs="Arial"/>
          <w:color w:val="000000"/>
          <w:sz w:val="22"/>
          <w:szCs w:val="22"/>
          <w:lang w:val="en-US"/>
        </w:rPr>
        <w:lastRenderedPageBreak/>
        <w:t xml:space="preserve">benefits to cultural heritage and minimize negative impacts) and Section D (Maximize benefits to the environment and minimize negative impacts). Draft of the new Criteria can be found </w:t>
      </w:r>
      <w:hyperlink r:id="rId11" w:history="1">
        <w:r w:rsidRPr="00CB7871">
          <w:rPr>
            <w:rStyle w:val="Hipervnculo"/>
            <w:rFonts w:ascii="Arial" w:hAnsi="Arial" w:cs="Arial"/>
            <w:color w:val="1155CC"/>
            <w:sz w:val="22"/>
            <w:szCs w:val="22"/>
            <w:lang w:val="en-US"/>
          </w:rPr>
          <w:t>here</w:t>
        </w:r>
      </w:hyperlink>
      <w:r w:rsidRPr="00CB7871">
        <w:rPr>
          <w:rFonts w:ascii="Arial" w:hAnsi="Arial" w:cs="Arial"/>
          <w:color w:val="000000"/>
          <w:sz w:val="22"/>
          <w:szCs w:val="22"/>
          <w:lang w:val="en-US"/>
        </w:rPr>
        <w:t>.</w:t>
      </w:r>
    </w:p>
    <w:p w14:paraId="0A085BFE" w14:textId="772FDBC4" w:rsidR="00CB7871" w:rsidRPr="00CB7871" w:rsidRDefault="00CB7871" w:rsidP="00CB7871">
      <w:pPr>
        <w:pStyle w:val="NormalWeb"/>
        <w:spacing w:before="0" w:beforeAutospacing="0" w:after="300" w:afterAutospacing="0" w:line="360" w:lineRule="auto"/>
        <w:jc w:val="center"/>
        <w:rPr>
          <w:rFonts w:ascii="Arial" w:hAnsi="Arial" w:cs="Arial"/>
          <w:lang w:val="en-US"/>
        </w:rPr>
      </w:pPr>
      <w:r w:rsidRPr="00CB7871">
        <w:rPr>
          <w:rFonts w:ascii="Arial" w:hAnsi="Arial" w:cs="Arial"/>
          <w:b/>
          <w:bCs/>
          <w:color w:val="000000"/>
          <w:lang w:val="en-US"/>
        </w:rPr>
        <w:t xml:space="preserve">Click </w:t>
      </w:r>
      <w:hyperlink r:id="rId12" w:history="1">
        <w:r w:rsidRPr="00CB7871">
          <w:rPr>
            <w:rStyle w:val="Hipervnculo"/>
            <w:rFonts w:ascii="Arial" w:hAnsi="Arial" w:cs="Arial"/>
            <w:b/>
            <w:bCs/>
            <w:color w:val="1155CC"/>
            <w:lang w:val="en-US"/>
          </w:rPr>
          <w:t>here</w:t>
        </w:r>
      </w:hyperlink>
      <w:r w:rsidRPr="00CB7871">
        <w:rPr>
          <w:rFonts w:ascii="Arial" w:hAnsi="Arial" w:cs="Arial"/>
          <w:b/>
          <w:bCs/>
          <w:color w:val="000000"/>
          <w:lang w:val="en-US"/>
        </w:rPr>
        <w:t xml:space="preserve"> to participate in the 1st Public Consultation of the GSTC Criteria for Food &amp; Beverage Service Providers in Tourism</w:t>
      </w:r>
    </w:p>
    <w:p w14:paraId="039EC58E" w14:textId="77777777" w:rsidR="00CB7871" w:rsidRDefault="00CB7871" w:rsidP="00CB7871">
      <w:pPr>
        <w:pStyle w:val="NormalWeb"/>
        <w:spacing w:before="0" w:beforeAutospacing="0" w:after="30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We also appreciate your help in spreading the word. Please share this invitation with anyone you know who is involved in the food and beverage sector within tourism. This could include restaurants, cafes, catering companies, hotel food service teams, chefs, event planners, policymakers, academics, non-profits, community members, or even individual travelers interested in sustainable practices in food service.</w:t>
      </w:r>
    </w:p>
    <w:p w14:paraId="75EEE58F" w14:textId="5C2B4910" w:rsidR="00CB7871" w:rsidRPr="00CB7871" w:rsidRDefault="00CB7871" w:rsidP="00CB7871">
      <w:pPr>
        <w:pStyle w:val="NormalWeb"/>
        <w:spacing w:before="0" w:beforeAutospacing="0" w:after="300" w:afterAutospacing="0" w:line="360" w:lineRule="auto"/>
        <w:jc w:val="both"/>
        <w:rPr>
          <w:rFonts w:ascii="Arial" w:hAnsi="Arial" w:cs="Arial"/>
          <w:sz w:val="22"/>
          <w:szCs w:val="22"/>
          <w:lang w:val="en-US"/>
        </w:rPr>
      </w:pPr>
      <w:r w:rsidRPr="00CB7871">
        <w:rPr>
          <w:rFonts w:ascii="Arial" w:hAnsi="Arial" w:cs="Arial"/>
          <w:color w:val="000000"/>
          <w:sz w:val="22"/>
          <w:szCs w:val="22"/>
          <w:lang w:val="en-US"/>
        </w:rPr>
        <w:t>After the first public consultation period is over, a compiling and revision will be made which will be reviewed during the feasibility assessment followed by drafting revisions as needed.</w:t>
      </w:r>
    </w:p>
    <w:p w14:paraId="68E98945" w14:textId="77777777" w:rsidR="00CB7871" w:rsidRDefault="00CB7871" w:rsidP="00CB7871"/>
    <w:p w14:paraId="300525FA" w14:textId="77777777" w:rsidR="00766E74" w:rsidRDefault="00766E74"/>
    <w:p w14:paraId="5F0580A2" w14:textId="77777777" w:rsidR="00766E74" w:rsidRDefault="00000000">
      <w:pPr>
        <w:spacing w:line="360" w:lineRule="auto"/>
        <w:jc w:val="center"/>
      </w:pPr>
      <w:r>
        <w:t>#END#</w:t>
      </w:r>
    </w:p>
    <w:p w14:paraId="7124A7A8" w14:textId="77777777" w:rsidR="00766E74" w:rsidRDefault="00766E74">
      <w:pPr>
        <w:spacing w:line="360" w:lineRule="auto"/>
        <w:jc w:val="center"/>
      </w:pPr>
    </w:p>
    <w:p w14:paraId="2640CBF2" w14:textId="77777777" w:rsidR="00766E74" w:rsidRDefault="00000000">
      <w:pPr>
        <w:shd w:val="clear" w:color="auto" w:fill="FFFFFF"/>
        <w:spacing w:before="160" w:after="160" w:line="352" w:lineRule="auto"/>
        <w:jc w:val="both"/>
        <w:rPr>
          <w:b/>
          <w:color w:val="1D1D1D"/>
          <w:sz w:val="23"/>
          <w:szCs w:val="23"/>
        </w:rPr>
      </w:pPr>
      <w:r>
        <w:rPr>
          <w:b/>
          <w:color w:val="1D1D1D"/>
          <w:sz w:val="23"/>
          <w:szCs w:val="23"/>
        </w:rPr>
        <w:t>About the GSTC</w:t>
      </w:r>
    </w:p>
    <w:p w14:paraId="774453E2" w14:textId="77777777" w:rsidR="00CB7871" w:rsidRPr="00CB7871" w:rsidRDefault="00CB7871" w:rsidP="00CB7871">
      <w:pPr>
        <w:spacing w:line="360" w:lineRule="auto"/>
        <w:jc w:val="both"/>
        <w:rPr>
          <w:rFonts w:eastAsia="Times New Roman"/>
          <w:lang w:val="en-US"/>
        </w:rPr>
      </w:pPr>
      <w:r w:rsidRPr="00CB7871">
        <w:rPr>
          <w:rFonts w:eastAsia="Times New Roman"/>
          <w:color w:val="000000"/>
          <w:lang w:val="en-US"/>
        </w:rPr>
        <w:t xml:space="preserve">The Global Sustainable Tourism Council® (GSTC®) establishes and manages global sustainable standards, known as the GSTC Criteria. There are four sets: </w:t>
      </w:r>
      <w:hyperlink r:id="rId13" w:history="1">
        <w:r w:rsidRPr="00CB7871">
          <w:rPr>
            <w:rFonts w:eastAsia="Times New Roman"/>
            <w:color w:val="1155CC"/>
            <w:u w:val="single"/>
            <w:lang w:val="en-US"/>
          </w:rPr>
          <w:t>Destination Criteria</w:t>
        </w:r>
      </w:hyperlink>
      <w:r w:rsidRPr="00CB7871">
        <w:rPr>
          <w:rFonts w:eastAsia="Times New Roman"/>
          <w:color w:val="000000"/>
          <w:lang w:val="en-US"/>
        </w:rPr>
        <w:t xml:space="preserve"> for public policy-makers and destination managers, </w:t>
      </w:r>
      <w:hyperlink r:id="rId14" w:history="1">
        <w:r w:rsidRPr="00CB7871">
          <w:rPr>
            <w:rFonts w:eastAsia="Times New Roman"/>
            <w:color w:val="1155CC"/>
            <w:u w:val="single"/>
            <w:lang w:val="en-US"/>
          </w:rPr>
          <w:t>Industry Criteria</w:t>
        </w:r>
      </w:hyperlink>
      <w:r w:rsidRPr="00CB7871">
        <w:rPr>
          <w:rFonts w:eastAsia="Times New Roman"/>
          <w:color w:val="000000"/>
          <w:lang w:val="en-US"/>
        </w:rPr>
        <w:t xml:space="preserve"> for Hotels and Tour Operators, </w:t>
      </w:r>
      <w:hyperlink r:id="rId15" w:history="1">
        <w:r w:rsidRPr="00CB7871">
          <w:rPr>
            <w:rFonts w:eastAsia="Times New Roman"/>
            <w:color w:val="1155CC"/>
            <w:u w:val="single"/>
            <w:lang w:val="en-US"/>
          </w:rPr>
          <w:t>MICE Criteria</w:t>
        </w:r>
      </w:hyperlink>
      <w:r w:rsidRPr="00CB7871">
        <w:rPr>
          <w:rFonts w:eastAsia="Times New Roman"/>
          <w:color w:val="000000"/>
          <w:lang w:val="en-US"/>
        </w:rPr>
        <w:t xml:space="preserve"> for Venues, Event Organizers, and Events &amp; Exhibitions, and </w:t>
      </w:r>
      <w:hyperlink r:id="rId16" w:history="1">
        <w:r w:rsidRPr="00CB7871">
          <w:rPr>
            <w:rFonts w:eastAsia="Times New Roman"/>
            <w:color w:val="1155CC"/>
            <w:u w:val="single"/>
            <w:lang w:val="en-US"/>
          </w:rPr>
          <w:t xml:space="preserve">Attraction Criteria </w:t>
        </w:r>
      </w:hyperlink>
      <w:r w:rsidRPr="00CB7871">
        <w:rPr>
          <w:rFonts w:eastAsia="Times New Roman"/>
          <w:color w:val="000000"/>
          <w:lang w:val="en-US"/>
        </w:rPr>
        <w:t xml:space="preserve">for tourist attractions such as theme parks, museums, and national parks. These are the guiding principles and minimum requirements that any tourism business or destination should aspire to reach </w:t>
      </w:r>
      <w:proofErr w:type="gramStart"/>
      <w:r w:rsidRPr="00CB7871">
        <w:rPr>
          <w:rFonts w:eastAsia="Times New Roman"/>
          <w:color w:val="000000"/>
          <w:lang w:val="en-US"/>
        </w:rPr>
        <w:t>in order to</w:t>
      </w:r>
      <w:proofErr w:type="gramEnd"/>
      <w:r w:rsidRPr="00CB7871">
        <w:rPr>
          <w:rFonts w:eastAsia="Times New Roman"/>
          <w:color w:val="000000"/>
          <w:lang w:val="en-US"/>
        </w:rPr>
        <w:t xml:space="preserve"> protect and sustain the world’s natural and cultural resources while ensuring tourism meets its potential as a tool for conservation and poverty alleviation.</w:t>
      </w:r>
    </w:p>
    <w:p w14:paraId="1352F74C" w14:textId="77777777" w:rsidR="00CB7871" w:rsidRPr="00CB7871" w:rsidRDefault="00CB7871" w:rsidP="00CB7871">
      <w:pPr>
        <w:spacing w:line="360" w:lineRule="auto"/>
        <w:jc w:val="both"/>
        <w:rPr>
          <w:rFonts w:eastAsia="Times New Roman"/>
          <w:lang w:val="en-US"/>
        </w:rPr>
      </w:pPr>
    </w:p>
    <w:p w14:paraId="70E5CB30" w14:textId="77777777" w:rsidR="00CB7871" w:rsidRPr="00CB7871" w:rsidRDefault="00CB7871" w:rsidP="00CB7871">
      <w:pPr>
        <w:spacing w:line="360" w:lineRule="auto"/>
        <w:jc w:val="both"/>
        <w:rPr>
          <w:rFonts w:eastAsia="Times New Roman"/>
          <w:lang w:val="en-US"/>
        </w:rPr>
      </w:pPr>
      <w:r w:rsidRPr="00CB7871">
        <w:rPr>
          <w:rFonts w:eastAsia="Times New Roman"/>
          <w:color w:val="000000"/>
          <w:lang w:val="en-US"/>
        </w:rPr>
        <w:t xml:space="preserve">The GSTC Criteria form the foundation for GSTC’s assurance role for Certification Bodies that certify hotels/accommodations, tour operators, and destinations as having sustainable policies and practices in place. GSTC does not directly certify any products or </w:t>
      </w:r>
      <w:proofErr w:type="gramStart"/>
      <w:r w:rsidRPr="00CB7871">
        <w:rPr>
          <w:rFonts w:eastAsia="Times New Roman"/>
          <w:color w:val="000000"/>
          <w:lang w:val="en-US"/>
        </w:rPr>
        <w:t>services, but</w:t>
      </w:r>
      <w:proofErr w:type="gramEnd"/>
      <w:r w:rsidRPr="00CB7871">
        <w:rPr>
          <w:rFonts w:eastAsia="Times New Roman"/>
          <w:color w:val="000000"/>
          <w:lang w:val="en-US"/>
        </w:rPr>
        <w:t xml:space="preserve"> provides accreditation to those that do. </w:t>
      </w:r>
    </w:p>
    <w:p w14:paraId="3AB0F390" w14:textId="77777777" w:rsidR="00CB7871" w:rsidRPr="00CB7871" w:rsidRDefault="00CB7871" w:rsidP="00CB7871">
      <w:pPr>
        <w:spacing w:line="360" w:lineRule="auto"/>
        <w:jc w:val="both"/>
        <w:rPr>
          <w:rFonts w:eastAsia="Times New Roman"/>
          <w:lang w:val="en-US"/>
        </w:rPr>
      </w:pPr>
    </w:p>
    <w:p w14:paraId="05CBFB73" w14:textId="77777777" w:rsidR="00CB7871" w:rsidRDefault="00CB7871" w:rsidP="00CB7871">
      <w:pPr>
        <w:spacing w:line="360" w:lineRule="auto"/>
        <w:jc w:val="both"/>
        <w:rPr>
          <w:rFonts w:eastAsia="Times New Roman"/>
          <w:lang w:val="en-US"/>
        </w:rPr>
      </w:pPr>
      <w:r w:rsidRPr="00CB7871">
        <w:rPr>
          <w:rFonts w:eastAsia="Times New Roman"/>
          <w:color w:val="000000"/>
          <w:lang w:val="en-US"/>
        </w:rPr>
        <w:lastRenderedPageBreak/>
        <w:t>GSTC</w:t>
      </w:r>
      <w:r w:rsidRPr="00CB7871">
        <w:rPr>
          <w:rFonts w:eastAsia="Times New Roman"/>
          <w:color w:val="5E5E5E"/>
          <w:shd w:val="clear" w:color="auto" w:fill="FFFFFF"/>
          <w:lang w:val="en-US"/>
        </w:rPr>
        <w:t xml:space="preserve"> </w:t>
      </w:r>
      <w:r w:rsidRPr="00CB7871">
        <w:rPr>
          <w:rFonts w:eastAsia="Times New Roman"/>
          <w:color w:val="000000"/>
          <w:lang w:val="en-US"/>
        </w:rPr>
        <w:t xml:space="preserve">is an independent and neutral USA-registered 501(c)3 non-profit organization that represents a </w:t>
      </w:r>
      <w:hyperlink r:id="rId17" w:history="1">
        <w:r w:rsidRPr="00CB7871">
          <w:rPr>
            <w:rFonts w:eastAsia="Times New Roman"/>
            <w:color w:val="1155CC"/>
            <w:u w:val="single"/>
            <w:lang w:val="en-US"/>
          </w:rPr>
          <w:t>diverse and global membership</w:t>
        </w:r>
      </w:hyperlink>
      <w:r w:rsidRPr="00CB7871">
        <w:rPr>
          <w:rFonts w:eastAsia="Times New Roman"/>
          <w:color w:val="000000"/>
          <w:lang w:val="en-US"/>
        </w:rPr>
        <w:t xml:space="preserve">, including national and provincial governments, leading travel companies, hotels, tour operators, NGOs, individuals and communities – all striving to achieve best practices in sustainable tourism. The GSTC is an </w:t>
      </w:r>
      <w:hyperlink r:id="rId18" w:history="1">
        <w:r w:rsidRPr="00CB7871">
          <w:rPr>
            <w:rFonts w:eastAsia="Times New Roman"/>
            <w:color w:val="1155CC"/>
            <w:u w:val="single"/>
            <w:lang w:val="en-US"/>
          </w:rPr>
          <w:t>ISEAL Community Member</w:t>
        </w:r>
      </w:hyperlink>
      <w:r w:rsidRPr="00CB7871">
        <w:rPr>
          <w:rFonts w:eastAsia="Times New Roman"/>
          <w:color w:val="000000"/>
          <w:lang w:val="en-US"/>
        </w:rPr>
        <w:t>, a global membership organization for ambitious, collaborative, and transparent sustainability systems. </w:t>
      </w:r>
    </w:p>
    <w:p w14:paraId="7C07535E" w14:textId="353D2548" w:rsidR="00766E74" w:rsidRPr="00CB7871" w:rsidRDefault="00CB7871" w:rsidP="00CB7871">
      <w:pPr>
        <w:spacing w:line="360" w:lineRule="auto"/>
        <w:jc w:val="both"/>
        <w:rPr>
          <w:rFonts w:eastAsia="Times New Roman"/>
          <w:lang w:val="en-US"/>
        </w:rPr>
      </w:pPr>
      <w:r w:rsidRPr="00CB7871">
        <w:rPr>
          <w:rFonts w:eastAsia="Times New Roman"/>
          <w:lang w:val="en-US"/>
        </w:rPr>
        <w:br/>
      </w:r>
      <w:r w:rsidRPr="00CB7871">
        <w:rPr>
          <w:rFonts w:eastAsia="Times New Roman"/>
          <w:color w:val="000000"/>
          <w:lang w:val="en-US"/>
        </w:rPr>
        <w:t xml:space="preserve">Information for media and the press: </w:t>
      </w:r>
      <w:hyperlink r:id="rId19" w:history="1">
        <w:r w:rsidRPr="00CB7871">
          <w:rPr>
            <w:rFonts w:eastAsia="Times New Roman"/>
            <w:color w:val="1155CC"/>
            <w:u w:val="single"/>
            <w:lang w:val="en-US"/>
          </w:rPr>
          <w:t>www.gstcouncil.org/about/for-the-press/</w:t>
        </w:r>
      </w:hyperlink>
    </w:p>
    <w:p w14:paraId="745129B9" w14:textId="77777777" w:rsidR="0023577F" w:rsidRDefault="0023577F">
      <w:pPr>
        <w:spacing w:line="360" w:lineRule="auto"/>
        <w:jc w:val="both"/>
        <w:rPr>
          <w:i/>
          <w:iCs/>
        </w:rPr>
      </w:pPr>
    </w:p>
    <w:p w14:paraId="1EC5B2F3" w14:textId="0EA38922" w:rsidR="00D0718B" w:rsidRDefault="00D0718B">
      <w:pPr>
        <w:spacing w:line="360" w:lineRule="auto"/>
        <w:jc w:val="both"/>
        <w:rPr>
          <w:i/>
          <w:iCs/>
        </w:rPr>
      </w:pPr>
      <w:r w:rsidRPr="00D0718B">
        <w:rPr>
          <w:i/>
          <w:iCs/>
        </w:rPr>
        <w:t>Image</w:t>
      </w:r>
      <w:r>
        <w:rPr>
          <w:i/>
          <w:iCs/>
        </w:rPr>
        <w:t>s</w:t>
      </w:r>
      <w:r w:rsidR="00CB7871">
        <w:rPr>
          <w:i/>
          <w:iCs/>
        </w:rPr>
        <w:t xml:space="preserve"> below</w:t>
      </w:r>
      <w:r w:rsidRPr="00D0718B">
        <w:rPr>
          <w:i/>
          <w:iCs/>
        </w:rPr>
        <w:t>:</w:t>
      </w:r>
    </w:p>
    <w:p w14:paraId="57C96919" w14:textId="77777777" w:rsidR="00D0718B" w:rsidRDefault="00D0718B">
      <w:pPr>
        <w:spacing w:line="360" w:lineRule="auto"/>
        <w:jc w:val="both"/>
        <w:rPr>
          <w:i/>
          <w:iCs/>
        </w:rPr>
      </w:pPr>
    </w:p>
    <w:p w14:paraId="61DF35A8" w14:textId="21FCBF51" w:rsidR="00CB7871" w:rsidRDefault="00CB7871">
      <w:pPr>
        <w:spacing w:line="360" w:lineRule="auto"/>
        <w:jc w:val="both"/>
        <w:rPr>
          <w:i/>
          <w:iCs/>
        </w:rPr>
      </w:pPr>
      <w:r>
        <w:rPr>
          <w:i/>
          <w:iCs/>
          <w:noProof/>
        </w:rPr>
        <w:drawing>
          <wp:inline distT="0" distB="0" distL="0" distR="0" wp14:anchorId="05C33A0F" wp14:editId="18E1631E">
            <wp:extent cx="5770047" cy="3605048"/>
            <wp:effectExtent l="0" t="0" r="0" b="1905"/>
            <wp:docPr id="2038377899" name="Imagen 1" descr="Imagen que contiene persona, interior, tabla,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7899" name="Imagen 1" descr="Imagen que contiene persona, interior, tabla, comid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810814" cy="3630519"/>
                    </a:xfrm>
                    <a:prstGeom prst="rect">
                      <a:avLst/>
                    </a:prstGeom>
                  </pic:spPr>
                </pic:pic>
              </a:graphicData>
            </a:graphic>
          </wp:inline>
        </w:drawing>
      </w:r>
    </w:p>
    <w:p w14:paraId="4F882B07" w14:textId="4D62D593" w:rsidR="00CB7871" w:rsidRPr="00D0718B" w:rsidRDefault="00CB7871">
      <w:pPr>
        <w:spacing w:line="360" w:lineRule="auto"/>
        <w:jc w:val="both"/>
        <w:rPr>
          <w:i/>
          <w:iCs/>
        </w:rPr>
      </w:pPr>
      <w:r>
        <w:rPr>
          <w:i/>
          <w:iCs/>
          <w:noProof/>
        </w:rPr>
        <w:lastRenderedPageBreak/>
        <w:drawing>
          <wp:inline distT="0" distB="0" distL="0" distR="0" wp14:anchorId="63A84589" wp14:editId="19F0BC88">
            <wp:extent cx="3878317" cy="3887552"/>
            <wp:effectExtent l="0" t="0" r="0" b="0"/>
            <wp:docPr id="683549170" name="Imagen 2" descr="Persona con comida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9170" name="Imagen 2" descr="Persona con comida en la mano&#10;&#10;Descripción generada automáticamente con confianza baja"/>
                    <pic:cNvPicPr/>
                  </pic:nvPicPr>
                  <pic:blipFill>
                    <a:blip r:embed="rId21">
                      <a:extLst>
                        <a:ext uri="{28A0092B-C50C-407E-A947-70E740481C1C}">
                          <a14:useLocalDpi xmlns:a14="http://schemas.microsoft.com/office/drawing/2010/main" val="0"/>
                        </a:ext>
                      </a:extLst>
                    </a:blip>
                    <a:stretch>
                      <a:fillRect/>
                    </a:stretch>
                  </pic:blipFill>
                  <pic:spPr>
                    <a:xfrm>
                      <a:off x="0" y="0"/>
                      <a:ext cx="3894127" cy="3903399"/>
                    </a:xfrm>
                    <a:prstGeom prst="rect">
                      <a:avLst/>
                    </a:prstGeom>
                  </pic:spPr>
                </pic:pic>
              </a:graphicData>
            </a:graphic>
          </wp:inline>
        </w:drawing>
      </w:r>
    </w:p>
    <w:sectPr w:rsidR="00CB7871" w:rsidRPr="00D0718B">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AE80" w14:textId="77777777" w:rsidR="002E7F7D" w:rsidRDefault="002E7F7D">
      <w:pPr>
        <w:spacing w:line="240" w:lineRule="auto"/>
      </w:pPr>
      <w:r>
        <w:separator/>
      </w:r>
    </w:p>
  </w:endnote>
  <w:endnote w:type="continuationSeparator" w:id="0">
    <w:p w14:paraId="5CC435D3" w14:textId="77777777" w:rsidR="002E7F7D" w:rsidRDefault="002E7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6EA3" w14:textId="77777777" w:rsidR="00766E74" w:rsidRDefault="00000000">
    <w:pPr>
      <w:jc w:val="right"/>
    </w:pPr>
    <w:r>
      <w:fldChar w:fldCharType="begin"/>
    </w:r>
    <w:r>
      <w:instrText>PAGE</w:instrText>
    </w:r>
    <w:r>
      <w:fldChar w:fldCharType="separate"/>
    </w:r>
    <w:r w:rsidR="00D071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135C" w14:textId="77777777" w:rsidR="002E7F7D" w:rsidRDefault="002E7F7D">
      <w:pPr>
        <w:spacing w:line="240" w:lineRule="auto"/>
      </w:pPr>
      <w:r>
        <w:separator/>
      </w:r>
    </w:p>
  </w:footnote>
  <w:footnote w:type="continuationSeparator" w:id="0">
    <w:p w14:paraId="54AEB666" w14:textId="77777777" w:rsidR="002E7F7D" w:rsidRDefault="002E7F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116D5"/>
    <w:multiLevelType w:val="multilevel"/>
    <w:tmpl w:val="5F04B6FE"/>
    <w:lvl w:ilvl="0">
      <w:start w:val="1"/>
      <w:numFmt w:val="bullet"/>
      <w:lvlText w:val="●"/>
      <w:lvlJc w:val="left"/>
      <w:pPr>
        <w:ind w:left="720" w:hanging="360"/>
      </w:pPr>
      <w:rPr>
        <w:color w:val="5E5E5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2783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74"/>
    <w:rsid w:val="0023577F"/>
    <w:rsid w:val="002B40A2"/>
    <w:rsid w:val="002E7F7D"/>
    <w:rsid w:val="0039381B"/>
    <w:rsid w:val="004F1CC5"/>
    <w:rsid w:val="00702B78"/>
    <w:rsid w:val="00766E74"/>
    <w:rsid w:val="008D5B5E"/>
    <w:rsid w:val="008F069B"/>
    <w:rsid w:val="00C463F0"/>
    <w:rsid w:val="00CB7871"/>
    <w:rsid w:val="00CD69FE"/>
    <w:rsid w:val="00D071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CC9E"/>
  <w15:docId w15:val="{C2BC288F-9EFB-7848-92BD-C6336CFD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CB7871"/>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semiHidden/>
    <w:unhideWhenUsed/>
    <w:rsid w:val="00CB78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24760">
      <w:bodyDiv w:val="1"/>
      <w:marLeft w:val="0"/>
      <w:marRight w:val="0"/>
      <w:marTop w:val="0"/>
      <w:marBottom w:val="0"/>
      <w:divBdr>
        <w:top w:val="none" w:sz="0" w:space="0" w:color="auto"/>
        <w:left w:val="none" w:sz="0" w:space="0" w:color="auto"/>
        <w:bottom w:val="none" w:sz="0" w:space="0" w:color="auto"/>
        <w:right w:val="none" w:sz="0" w:space="0" w:color="auto"/>
      </w:divBdr>
    </w:div>
    <w:div w:id="1445080135">
      <w:bodyDiv w:val="1"/>
      <w:marLeft w:val="0"/>
      <w:marRight w:val="0"/>
      <w:marTop w:val="0"/>
      <w:marBottom w:val="0"/>
      <w:divBdr>
        <w:top w:val="none" w:sz="0" w:space="0" w:color="auto"/>
        <w:left w:val="none" w:sz="0" w:space="0" w:color="auto"/>
        <w:bottom w:val="none" w:sz="0" w:space="0" w:color="auto"/>
        <w:right w:val="none" w:sz="0" w:space="0" w:color="auto"/>
      </w:divBdr>
    </w:div>
    <w:div w:id="1615136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stcouncil.org/gstc-to-develop-new-criteria-food-service-providers/" TargetMode="External"/><Relationship Id="rId13" Type="http://schemas.openxmlformats.org/officeDocument/2006/relationships/hyperlink" Target="https://www.gstcouncil.org/gstc-criteria/gstc-destination-criteria/" TargetMode="External"/><Relationship Id="rId18" Type="http://schemas.openxmlformats.org/officeDocument/2006/relationships/hyperlink" Target="https://www.isealalliance.org/iseal-community-members"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www.surveymonkey.com/r/ST3WL6Y" TargetMode="External"/><Relationship Id="rId17" Type="http://schemas.openxmlformats.org/officeDocument/2006/relationships/hyperlink" Target="https://www.gstcouncil.org/membership/member-search/" TargetMode="External"/><Relationship Id="rId2" Type="http://schemas.openxmlformats.org/officeDocument/2006/relationships/styles" Target="styles.xml"/><Relationship Id="rId16" Type="http://schemas.openxmlformats.org/officeDocument/2006/relationships/hyperlink" Target="https://www.gstcouncil.org/gstc-criteria/gstc-attraction-criteria/"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tcouncil.org/wp-content/uploads/FB-Service-Providers-Criteria-First-Public-Consultation-Draft.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stcouncil.org/gstc-criteria/gstc-mice-criteria/" TargetMode="External"/><Relationship Id="rId23" Type="http://schemas.openxmlformats.org/officeDocument/2006/relationships/fontTable" Target="fontTable.xml"/><Relationship Id="rId10" Type="http://schemas.openxmlformats.org/officeDocument/2006/relationships/hyperlink" Target="https://www.gstcouncil.org/sustainable-tourism-training/" TargetMode="External"/><Relationship Id="rId19" Type="http://schemas.openxmlformats.org/officeDocument/2006/relationships/hyperlink" Target="http://www.gstcouncil.org/about/for-the-press/" TargetMode="External"/><Relationship Id="rId4" Type="http://schemas.openxmlformats.org/officeDocument/2006/relationships/webSettings" Target="webSettings.xml"/><Relationship Id="rId9" Type="http://schemas.openxmlformats.org/officeDocument/2006/relationships/hyperlink" Target="https://www.gstcouncil.org/gstc-criteria/" TargetMode="External"/><Relationship Id="rId14" Type="http://schemas.openxmlformats.org/officeDocument/2006/relationships/hyperlink" Target="https://www.gstcouncil.org/gstc-criteria/gstc-industry-criteri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773</Words>
  <Characters>4253</Characters>
  <Application>Microsoft Office Word</Application>
  <DocSecurity>0</DocSecurity>
  <Lines>35</Lines>
  <Paragraphs>10</Paragraphs>
  <ScaleCrop>false</ScaleCrop>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2</cp:revision>
  <dcterms:created xsi:type="dcterms:W3CDTF">2025-01-02T10:19:00Z</dcterms:created>
  <dcterms:modified xsi:type="dcterms:W3CDTF">2025-01-02T10:19:00Z</dcterms:modified>
</cp:coreProperties>
</file>